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中国人民银行河南省分行非银行支付机构设立、变更与终止事项服务指南</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非银行支付机构申请变更</w:t>
      </w:r>
      <w:r>
        <w:rPr>
          <w:rFonts w:hint="eastAsia" w:ascii="方正小标宋简体" w:hAnsi="方正小标宋简体" w:eastAsia="方正小标宋简体" w:cs="方正小标宋简体"/>
          <w:sz w:val="36"/>
          <w:szCs w:val="36"/>
        </w:rPr>
        <w:t>事项</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服务指南</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spacing w:line="4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发布日期：</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实施日期：</w:t>
      </w:r>
      <w:r>
        <w:rPr>
          <w:rFonts w:hint="eastAsia" w:ascii="仿宋_GB2312" w:hAnsi="仿宋_GB2312" w:eastAsia="仿宋_GB2312" w:cs="仿宋_GB2312"/>
          <w:sz w:val="32"/>
          <w:szCs w:val="32"/>
          <w:lang w:eastAsia="zh-CN"/>
        </w:rPr>
        <w:t>自发布之日起</w:t>
      </w:r>
    </w:p>
    <w:p>
      <w:pPr>
        <w:spacing w:line="400" w:lineRule="exact"/>
        <w:rPr>
          <w:rFonts w:hint="eastAsia" w:ascii="仿宋_GB2312" w:hAnsi="Calibri" w:eastAsia="仿宋_GB2312" w:cs="Times New Roman"/>
          <w:sz w:val="32"/>
          <w:szCs w:val="32"/>
        </w:rPr>
      </w:pPr>
      <w:r>
        <w:rPr>
          <w:rFonts w:hint="eastAsia" w:ascii="仿宋_GB2312" w:eastAsia="仿宋_GB2312"/>
          <w:b/>
          <w:bCs/>
          <w:sz w:val="32"/>
          <w:szCs w:val="32"/>
        </w:rPr>
        <w:t>发布机构：</w:t>
      </w:r>
      <w:r>
        <w:rPr>
          <w:rFonts w:hint="eastAsia" w:ascii="仿宋_GB2312" w:eastAsia="仿宋_GB2312"/>
          <w:sz w:val="32"/>
          <w:szCs w:val="32"/>
        </w:rPr>
        <w:t>中国人民银行</w:t>
      </w:r>
      <w:r>
        <w:rPr>
          <w:rFonts w:hint="eastAsia" w:ascii="仿宋_GB2312" w:eastAsia="仿宋_GB2312"/>
          <w:sz w:val="32"/>
          <w:szCs w:val="32"/>
          <w:lang w:eastAsia="zh-CN"/>
        </w:rPr>
        <w:t>河南省分行</w:t>
      </w:r>
    </w:p>
    <w:p>
      <w:pPr>
        <w:widowControl/>
        <w:jc w:val="left"/>
        <w:rPr>
          <w:rFonts w:ascii="仿宋_GB2312" w:eastAsia="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中国人民银行</w:t>
      </w:r>
      <w:r>
        <w:rPr>
          <w:rFonts w:hint="eastAsia" w:ascii="方正小标宋简体" w:hAnsi="方正小标宋简体" w:eastAsia="方正小标宋简体" w:cs="方正小标宋简体"/>
          <w:color w:val="000000"/>
          <w:sz w:val="36"/>
          <w:szCs w:val="36"/>
          <w:lang w:eastAsia="zh-CN"/>
        </w:rPr>
        <w:t>河南省分行</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非银行支付机构申请变更</w:t>
      </w:r>
      <w:r>
        <w:rPr>
          <w:rFonts w:hint="eastAsia" w:ascii="方正小标宋简体" w:hAnsi="方正小标宋简体" w:eastAsia="方正小标宋简体" w:cs="方正小标宋简体"/>
          <w:color w:val="000000"/>
          <w:sz w:val="36"/>
          <w:szCs w:val="36"/>
        </w:rPr>
        <w:t>事项</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服务指南</w:t>
      </w:r>
    </w:p>
    <w:p>
      <w:pPr>
        <w:keepNext w:val="0"/>
        <w:keepLines w:val="0"/>
        <w:pageBreakBefore w:val="0"/>
        <w:wordWrap/>
        <w:overflowPunct/>
        <w:topLinePunct w:val="0"/>
        <w:bidi w:val="0"/>
        <w:spacing w:line="560" w:lineRule="exact"/>
        <w:ind w:firstLine="720" w:firstLineChars="200"/>
        <w:jc w:val="center"/>
        <w:rPr>
          <w:rFonts w:hint="eastAsia" w:ascii="方正小标宋简体" w:hAnsi="方正小标宋简体" w:eastAsia="方正小标宋简体" w:cs="方正小标宋简体"/>
          <w:sz w:val="36"/>
          <w:szCs w:val="36"/>
        </w:rPr>
      </w:pP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本指南适用于</w:t>
      </w:r>
      <w:r>
        <w:rPr>
          <w:rFonts w:hint="eastAsia" w:ascii="仿宋_GB2312" w:hAnsi="仿宋_GB2312" w:eastAsia="仿宋_GB2312" w:cs="仿宋_GB2312"/>
          <w:sz w:val="32"/>
          <w:szCs w:val="32"/>
          <w:lang w:val="en-US"/>
        </w:rPr>
        <w:t>注册地在</w:t>
      </w:r>
      <w:r>
        <w:rPr>
          <w:rFonts w:hint="eastAsia" w:ascii="仿宋_GB2312" w:hAnsi="仿宋_GB2312" w:eastAsia="仿宋_GB2312" w:cs="仿宋_GB2312"/>
          <w:sz w:val="32"/>
          <w:szCs w:val="32"/>
          <w:lang w:eastAsia="zh-CN"/>
        </w:rPr>
        <w:t>河南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lang w:val="en-US"/>
        </w:rPr>
        <w:t>的法人非银行支付机构</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变更</w:t>
      </w:r>
      <w:r>
        <w:rPr>
          <w:rFonts w:hint="eastAsia" w:ascii="仿宋_GB2312" w:hAnsi="仿宋_GB2312" w:eastAsia="仿宋_GB2312" w:cs="仿宋_GB2312"/>
          <w:sz w:val="32"/>
          <w:szCs w:val="32"/>
          <w:lang w:eastAsia="zh-CN"/>
        </w:rPr>
        <w:t>事项办理，具体包括：</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变更主要股东或者实际控制人；</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合并或者分立；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跨省、自治区、直辖市变更住所；</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变更业务类型或者经营地域范围；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变更董事、监事或者高级管理人员；</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变更名称或者注册资本。</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rPr>
        <w:t>二、事项审查类型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前审后批。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2.《中华人民共和国行政许可法》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号公布）</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四、受理</w:t>
      </w:r>
      <w:r>
        <w:rPr>
          <w:rFonts w:hint="eastAsia" w:ascii="黑体" w:hAnsi="黑体" w:eastAsia="黑体" w:cs="黑体"/>
          <w:b w:val="0"/>
          <w:bCs/>
          <w:sz w:val="32"/>
          <w:szCs w:val="32"/>
          <w:highlight w:val="none"/>
          <w:lang w:eastAsia="zh-CN"/>
        </w:rPr>
        <w:t>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河南省分行。</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rPr>
        <w:t>决定机构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或中国人民银行河南省分行。</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变更主要股东或者实际控制人的相关规定</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（一）定义界定。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非银行支付机构变更主要股东包括下列情形：</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新增主要股东。</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现有主要股东增加或者减少股权比例。</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非银行支付机构申请变更主要股东或者实际控制人的，应当符合下列条件：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现有主要股东或者实际控制人持股或者实际控制已满3年。现有主要股东改变股权比例且未导致主要股东身份和实际控制人变更，现有主要股东或者实际控制人死亡、丧失完全民事行为能力、执行法院判决、风险处置或者中国人民银行基于审慎监管原则同意再次变更等情形除外</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拟变更后的主要股东或者实际控制人应当符合《条例》及</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有关规定。拟变更后的主要股东或者实际控制人为公司的，还应当具有稳定的盈利来源或者较好的可持续发展能力。</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诚信记录良好。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非银行支付机构申请变更主要股东或者实际控制人的，应当向住所所在地中国人民银行的分支机构提交下列材料：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书面申请，载明申请人基本情况、变更原因、变更方案、变更前后主要股东或者实际控制人情况等。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申请人材料，包括：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股东会或者其他有权决定机构同意申请人变更的决议文件。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拟变更后的主要股东或者实际控制人材料，参照</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第十条、第十一条规定提供。</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出资或者股权转让协议复印件、价格合理性说明和第三方出具的资产评估报告等相关材料。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七、合并或者分立的相关规定</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（一）定义界定。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条例》所称合并是指一家非银行支付机构吸收其他非银行支付机构，合并后只有一家非银行支付机构持有支付业务许可证，其他非银行支付机构解散的行为。合并主体可以获取多家被合并主体全部或者部分业务类型和经营地域范围。</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非银行支付机构申请合并的，应当由拟合并主体向其住所所在地中国人民银行的分支机构提交合并申请。</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拟跨省、自治区、直辖市进行合并的，拟合并主体住所所在地中国人民银行的分支机构应当征求拟被合并主体住所所在地中国人民银行的分支机构意见，拟被合并主体住所所在地中国人民银行的分支机构应当自收到征求意见函起10日内，向拟合并主体住所所在地中国人民银行的分支机构出具审查意见，审查意见包括但不限于拟被合并主体备付金安全情况和合规经营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《条例》所称分立是指一家非银行支付机构将部分资产和负债分离转让给其他一家或者多家企业，分立后仅有一家法人主体持有支付业务许可证的行为。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非银行支付机构申请分立的，应当由原非银行支付机构向拟持证主体住所所在地中国人民银行的分支机构提交分立申请。</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拟跨省、自治区、直辖市进行分立的，拟持证主体住所所在地中国人民银行的分支机构应当征求原非银行支付机构住所所在地中国人民银行的分支机构意见，原非银行支付机构住所所在地中国人民银行的分支机构应当自收到征求意见函起10日内，向拟持证主体住所所在地中国人民银行的分支机构出具审查意见，审查意见包括但不限于原非银行支付机构备付金安全情况和合规经营情况等。</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非银行支付机构申请合并或者分立的，应当符合下列条件：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拟合并主体或者拟持证主体符合《条例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职责，执行法院判决、风险处置或者中国人民银行基于审慎监管原则同意再次变更等情形除外。</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具有保障用户合法权益、支付业务连续性的方案和措施。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诚信记录良好。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非银行支付机构申请合并的，应当由拟合并主体向住所所在地中国人民银行的分支机构提交下列材料：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书面申请，载明拟合并主体和拟被合并主体的基本情况、变更原因、变更方案等。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拟合并主体和拟被合并主体材料，包括：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拟合并主体或者拟被合并主体为国有企业、国有控股企业或者上市企业，变更涉及国有资产转让或者上市公司资产交易依法应当取得相关监管部门批准或者备案的，应当提供批准或者备案文件。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拟合并主体和拟被合并主体股东会或者其他有权决定机构同意拟变更的决议文件。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合并方案和公告，包括业务承接方案和时间安排，用户权益保障、风险控制和舆情应对方案，合并公告样式以及其他需要说明的事项。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拟合并主体资质合规情况材料，包括拟合并主体在注册资本，董事、监事和高级管理人员，主要股东和实际控制人，公司治理结构、内部控制和风险管理制度，经营场所、安全保障措施，以及业务系统、设施和技术等方面符合《条例》及</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有关规定的材料。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出资方资金来源说明。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拟合并主体主要股东与拟被合并主体主要股东之间的关联关系说明，以及拟合并主体各股东之间的关联关系说明。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合并协议复印件、价格合理性说明和第三方出具的资产评估报告等。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拟被合并主体支付业务终止方案。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股权稳定性承诺书。</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申请材料真实性声明。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非银行支付机构申请分立的，应当向拟持证主体住所所在地中国人民银行的分支机构提交下列材料：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书面申请，载明申请人基本情况、变更原因、变更方案等。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分立方案和公告，包括拟持证主体业务承接方案和时间安排，用户权益保障、风险控制和舆情应对方案，分立公告样式以及其他需要说明的事项。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拟持证主体资质合规情况材料，包括拟持证主体在注册资本，董事、监事和高级管理人员，主要股东和实际控制人，公司治理结构、内部控制和风险管理制度，经营场所、安全保障措施，以及业务系统、设施和技术等方面符合《条例》及</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有关规定的材料。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拟持证主体各股东之间的关联关系说明。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分立协议复印件，财产、债务分割安排合理性说明和第三方出具的资产评估报告等。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股权稳定性承诺书。</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八、跨省、自治区、直辖市变更住所的相关规定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跨省、自治区、直辖市变更住所的，应当向拟变更后住所所在地中国人民银行的分支机构提交申请。拟变更后住所所在地中国人民银行的分支机构应当征求原住所所在地中国人民银行的分支机构意见，原住所所在地中国人民银行的分支机构应当自收到征求意见函起10日内，向拟变更后住所所在地中国人民银行的分支机构出具审查意见，审查意见包括但不限于非银行支付机构备付金安全情况和合规经营情况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非银行支付机构申请跨省、自治区、直辖市变更住所的，应当符合下列条件：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1.拟变更后的支付业务设施和住所符合《条例》及《细则》有关规定。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2.非银行支付机构经核准的经营地域范围覆盖变更后的住所所在地。</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3.最近3年无重大违法违规记录。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4.诚信记录良好。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非银行支付机构申请跨省、自治区、直辖市变更住所的，应当向拟变更后住所所在地中国人民银行的分支机构提交下列材料：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1.书面申请，载明申请人基本情况、主要股东和实际控制人情况、变更原因、变更方案等。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2.申请人相关材料，包括：</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（1）营业执照（副本）复印件和支付业务许可证复印件。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（4）备付金安全承诺。</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4.拟变更后的支付业务设施和住所合规情况材料，参照《细则》第十六条、第十七条规定提供。</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5.申请材料真实性声明。</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九、变更业务类型或者经营地域范围的相关规定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非银行支付机构申请变更业务类型或者经营地域范围的，应当向住所所在地中国人民银行的分支机构提交申请。</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非银行支付机构拟新增业务类型或者扩大经营地域范围的，应当参照</w:t>
      </w:r>
      <w:r>
        <w:rPr>
          <w:rFonts w:hint="eastAsia" w:ascii="仿宋_GB2312" w:hAnsi="仿宋_GB2312" w:eastAsia="仿宋_GB2312" w:cs="仿宋_GB2312"/>
          <w:sz w:val="32"/>
          <w:szCs w:val="32"/>
          <w:lang w:eastAsia="zh-CN"/>
        </w:rPr>
        <w:t>设立</w:t>
      </w:r>
      <w:r>
        <w:rPr>
          <w:rFonts w:hint="default" w:ascii="仿宋_GB2312" w:hAnsi="仿宋_GB2312" w:eastAsia="仿宋_GB2312" w:cs="仿宋_GB2312"/>
          <w:sz w:val="32"/>
          <w:szCs w:val="32"/>
        </w:rPr>
        <w:t>有关规定办理。</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拟缩小经营地域范围的，其住所所在地中国人民银行的分支机构应当征求拟不再展业地中国人民银行的分支机构意见，拟不再展业地中国人民银行的分支机构应当自收到征求意见函起10日内，向非银行支付机构住所所在地中国人民银行的分支机构出具审查意见，审查意见包括但不限于非银行支付机构备付金安全和合规经营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非银行支付机构申请缩减业务类型或者缩小经营地域范围的，应当符合下列条件：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具有保障用户合法权益、支付业务连续性的方案和措施。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非银行支付机构申请缩减业务类型或者缩小经营地域范围的，应当向住所所在地中国人民银行的分支机构提交下列材料：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书面申请，载明申请人基本情况、变更原因、变更方案等。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副本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调整方案和公告，包括业务调整方案和时间安排、用户权益保障、风险控制和舆情应对方案、支付业务信息处理方案、调整公告样式和其他需要说明的事项。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变更董事、监事或者高级管理人员的相关规定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非银行支付机构申请变更董事、监事或者高级管理人员的，应当符合下列条件：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拟变更后的董事、监事或者高级管理人员符合《条例》及</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最近3年无重大违法违规记录，中国人民银行及其分支机构根据审慎监管原则，责令非银行支付机构调整董事、监事或者高级管理人员的除外。</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备付金管理机制健全有效。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已经中国人民银行及其分支机构批准的非银行支付机构董事、监事在同一非银行支付机构内调任其他董事、监事职位的，或者高级管理人员在同一非银行支付机构内调任其他高级管理人员职位的，非银行支付机构无需提交变更申请，但应当于变更完成后10日内向住所所在地中国人民银行的分支机构报告调任情况。</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非银行支付机构申请变更董事、监事或者高级管理人员的，应当向住所所在地中国人民银行的分支机构提交下列材料：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书面申请，载明申请人基本情况、变更原因、变更前后人员情况等。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拟变更后的董事、监事或者高级管理人员资质合规情况材料，参照</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第十二条规定提供。</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申请材料真实性声明。</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十一、变更名称或注册资本的相关规定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非银行支付机构申请变更名称的，应当符合下列条件：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拟变更后的名称符合《条例》有关规定。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备付金管理机制健全有效。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非银行支付机构申请变更注册资本的，应当符合下列条件：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拟变更后的注册资本符合《条例》及</w:t>
      </w:r>
      <w:r>
        <w:rPr>
          <w:rFonts w:hint="eastAsia" w:ascii="仿宋_GB2312" w:hAnsi="仿宋_GB2312" w:eastAsia="仿宋_GB2312" w:cs="仿宋_GB2312"/>
          <w:sz w:val="32"/>
          <w:szCs w:val="32"/>
          <w:lang w:eastAsia="zh-CN"/>
        </w:rPr>
        <w:t>《细则》</w:t>
      </w:r>
      <w:r>
        <w:rPr>
          <w:rFonts w:hint="default" w:ascii="仿宋_GB2312" w:hAnsi="仿宋_GB2312" w:eastAsia="仿宋_GB2312" w:cs="仿宋_GB2312"/>
          <w:sz w:val="32"/>
          <w:szCs w:val="32"/>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因注册资本变更导致非银行支付机构主要股东和实际控制人变更的，拟变更后的主要股东和实际控制人符合《条例》及</w:t>
      </w:r>
      <w:r>
        <w:rPr>
          <w:rFonts w:hint="eastAsia" w:ascii="仿宋_GB2312" w:hAnsi="仿宋_GB2312" w:eastAsia="仿宋_GB2312" w:cs="仿宋_GB2312"/>
          <w:sz w:val="32"/>
          <w:szCs w:val="32"/>
          <w:lang w:eastAsia="zh-CN"/>
        </w:rPr>
        <w:t>《细则》</w:t>
      </w:r>
      <w:r>
        <w:rPr>
          <w:rFonts w:hint="default" w:ascii="仿宋_GB2312" w:hAnsi="仿宋_GB2312" w:eastAsia="仿宋_GB2312" w:cs="仿宋_GB2312"/>
          <w:sz w:val="32"/>
          <w:szCs w:val="32"/>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非银行支付机构申请变更名称的，应当向住所所在地中国人民银行的分支机构提交下列材料：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书面申请，载明申请人基本情况、变更原因、拟变更的名称等。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副本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申请材料真实性声明。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非银行支付机构申请变更注册资本的，应当向住所所在地中国人民银行的分支机构提交下列材料：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书面申请，载明申请人基本情况、变更原因、变更方案、变更前后注册资本和股权结构情况等。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副本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拟增加注册资本的，应当提供资金来源说明。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十二、多项变更事项的相关规定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非银行支付机构同时涉及多项变更事项的，应当按照《条例》及《细则》有关规定一次性提出申请。多项变更事项涉及相同申请材料的，非银行支付机构无需重复提交。</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多项变更事项同时涉及由中国人民银行和中国人民银行的分支机构决定的，由中国人民银行的分支机构受理、初步审查后报中国人民银行审查、决定。</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十三、</w:t>
      </w:r>
      <w:r>
        <w:rPr>
          <w:rFonts w:hint="eastAsia" w:ascii="黑体" w:hAnsi="黑体" w:eastAsia="黑体" w:cs="黑体"/>
          <w:sz w:val="32"/>
          <w:szCs w:val="32"/>
        </w:rPr>
        <w:t>申请接收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（一）接收方式</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河南省分行通过</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或邮寄等方式</w:t>
      </w:r>
      <w:r>
        <w:rPr>
          <w:rFonts w:hint="eastAsia" w:ascii="仿宋_GB2312" w:hAnsi="仿宋_GB2312" w:eastAsia="仿宋_GB2312" w:cs="仿宋_GB2312"/>
          <w:sz w:val="32"/>
          <w:szCs w:val="32"/>
        </w:rPr>
        <w:t>接收</w:t>
      </w:r>
      <w:r>
        <w:rPr>
          <w:rFonts w:hint="eastAsia" w:ascii="仿宋_GB2312" w:hAnsi="仿宋_GB2312" w:eastAsia="仿宋_GB2312" w:cs="仿宋_GB2312"/>
          <w:sz w:val="32"/>
          <w:szCs w:val="32"/>
          <w:lang w:val="en-US"/>
        </w:rPr>
        <w:t>申请材料</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（二）接收地址</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郑州</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郑东新区商务外环路</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、办理方式</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（一）接收申请材料</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接收申请人提交的申请材料，并清点材料数量。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清点无误的，中国人民银行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向申请人出具材料接收凭证。</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（二）出具受理意见</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对申请材料进行初步审核，视以下不同情况出具受理意见：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对于申请材料不齐全或者不符合法定形式的，应当向申请人送达行政许可补正告知书，告知申请人需要补正的全部材料、补正期限。</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对于申请材料齐全、符合法定形式的，或者申请人按要求提交全部补正申请材料，应当向申请人送达行政许可受理通知书，并通知申请人及时按规定进行公告。</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对于申请事项依法不属于中国人民银行职权范围，或者申请人提供的补正材料不齐全、不符合法定形式的，应当及时作出不予受理的决定，向申请人送达不予受理行政许可决定书。</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对于受理、不予受理或者要求补正申请材料的通知书，应当自相关文书作出之日起5个工作日内送达当事人。</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（三）中国人民银行</w:t>
      </w:r>
      <w:r>
        <w:rPr>
          <w:rFonts w:hint="eastAsia" w:ascii="楷体" w:hAnsi="楷体" w:eastAsia="楷体" w:cs="楷体"/>
          <w:sz w:val="32"/>
          <w:szCs w:val="32"/>
          <w:lang w:eastAsia="zh-CN"/>
        </w:rPr>
        <w:t>河南省分行审核决定。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对申请材料进行审核，组织对申请人进行现场核查，并提前告知申请人有关核查事项。现场</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查应通过询问工作人员、调阅档案资料、实地调查确认等方式开展。中国人民银行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结合材料审核、现场核查相关情况和公众反馈信息，形成支付业务许可审查意见。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非系统重要性非银行支付机构申请变更前款第五项事项的，非银行支付机构申请变更前款第六项事项的，</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河南省分行作出批准或者不予批准的决定，并将决定抄报中国人民银行。</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rPr>
        <w:t>四</w:t>
      </w:r>
      <w:r>
        <w:rPr>
          <w:rFonts w:hint="eastAsia" w:ascii="楷体" w:hAnsi="楷体" w:eastAsia="楷体" w:cs="楷体"/>
          <w:sz w:val="32"/>
          <w:szCs w:val="32"/>
        </w:rPr>
        <w:t>）</w:t>
      </w:r>
      <w:r>
        <w:rPr>
          <w:rFonts w:hint="eastAsia" w:ascii="楷体" w:hAnsi="楷体" w:eastAsia="楷体" w:cs="楷体"/>
          <w:sz w:val="32"/>
          <w:szCs w:val="32"/>
          <w:lang w:eastAsia="zh-CN"/>
        </w:rPr>
        <w:t>人民银行总行审核决定。</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仿宋_GB2312"/>
          <w:kern w:val="2"/>
          <w:sz w:val="32"/>
          <w:szCs w:val="32"/>
          <w:highlight w:val="none"/>
          <w:lang w:val="en-US" w:eastAsia="zh-CN" w:bidi="ar-SA"/>
        </w:rPr>
        <w:t>非银行支付机构申请变更前款第一项至第四项事项，系统重要性非银行支付机构申请变更前款第五项事项的，中国人民银行总行组织对申请材料进行复审，结合河南省分行</w:t>
      </w:r>
      <w:r>
        <w:rPr>
          <w:rFonts w:hint="eastAsia" w:ascii="仿宋_GB2312" w:hAnsi="宋体" w:eastAsia="仿宋_GB2312" w:cs="仿宋_GB2312"/>
          <w:kern w:val="2"/>
          <w:sz w:val="32"/>
          <w:szCs w:val="32"/>
          <w:lang w:val="en-US" w:eastAsia="zh-CN" w:bidi="ar-SA"/>
        </w:rPr>
        <w:t>初审意见和公众反馈信息，</w:t>
      </w:r>
      <w:r>
        <w:rPr>
          <w:rFonts w:hint="eastAsia" w:ascii="仿宋_GB2312" w:hAnsi="宋体" w:eastAsia="仿宋_GB2312" w:cs="仿宋_GB2312"/>
          <w:kern w:val="2"/>
          <w:sz w:val="32"/>
          <w:szCs w:val="32"/>
          <w:highlight w:val="none"/>
          <w:lang w:val="en-US" w:eastAsia="zh-CN" w:bidi="ar-SA"/>
        </w:rPr>
        <w:t>形成最终审批结果。</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送达行政许可决定。</w:t>
      </w:r>
    </w:p>
    <w:p>
      <w:pPr>
        <w:keepNext w:val="0"/>
        <w:keepLines w:val="0"/>
        <w:pageBreakBefore w:val="0"/>
        <w:widowControl w:val="0"/>
        <w:wordWrap/>
        <w:overflowPunct/>
        <w:topLinePunct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宋体" w:eastAsia="仿宋_GB2312" w:cs="仿宋_GB2312"/>
          <w:kern w:val="2"/>
          <w:sz w:val="32"/>
          <w:szCs w:val="32"/>
          <w:highlight w:val="none"/>
          <w:lang w:val="en-US" w:eastAsia="zh-CN" w:bidi="ar-SA"/>
        </w:rPr>
        <w:t>作出行政决定后，中国人民银行河南省分行在10</w:t>
      </w:r>
      <w:r>
        <w:rPr>
          <w:rFonts w:hint="eastAsia" w:ascii="仿宋_GB2312" w:hAnsi="仿宋_GB2312" w:eastAsia="仿宋_GB2312" w:cs="仿宋_GB2312"/>
          <w:sz w:val="32"/>
          <w:szCs w:val="32"/>
          <w:lang w:eastAsia="zh-CN"/>
        </w:rPr>
        <w:t>个工作</w:t>
      </w:r>
      <w:r>
        <w:rPr>
          <w:rFonts w:hint="eastAsia" w:ascii="仿宋_GB2312" w:hAnsi="宋体" w:eastAsia="仿宋_GB2312" w:cs="仿宋_GB2312"/>
          <w:kern w:val="2"/>
          <w:sz w:val="32"/>
          <w:szCs w:val="32"/>
          <w:highlight w:val="none"/>
          <w:lang w:val="en-US" w:eastAsia="zh-CN" w:bidi="ar-SA"/>
        </w:rPr>
        <w:t>日内向申请人送达准予行政许可或者不予行政许可决定书。</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、办结时限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收到申请材料或者全部补正申请材料之日起</w:t>
      </w:r>
      <w:r>
        <w:rPr>
          <w:rFonts w:hint="eastAsia" w:ascii="仿宋_GB2312" w:hAnsi="仿宋_GB2312" w:eastAsia="仿宋_GB2312" w:cs="仿宋_GB2312"/>
          <w:sz w:val="32"/>
          <w:szCs w:val="32"/>
          <w:lang w:val="en-US" w:eastAsia="zh-CN"/>
        </w:rPr>
        <w:t>5个工作日内，向申请人出具行政许可受理通知书。</w:t>
      </w:r>
      <w:r>
        <w:rPr>
          <w:rFonts w:hint="eastAsia" w:ascii="仿宋_GB2312" w:hAnsi="仿宋_GB2312" w:eastAsia="仿宋_GB2312" w:cs="仿宋_GB2312"/>
          <w:kern w:val="2"/>
          <w:sz w:val="32"/>
          <w:szCs w:val="32"/>
          <w:lang w:val="en-US" w:eastAsia="zh-CN" w:bidi="ar-SA"/>
        </w:rPr>
        <w:t>非银行支付机构申请变更名称、注册资本的，中国人民银行自受理申请之日起1个月内作出批准或者不予批准的书面决定。申请办理前款所列其他事项的，中国人民银行自受理申请之日起3个月内作出批准或者不予批准的决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非银行支付机构同时涉及多项变更事项的，适用较长审查期限。其中，《中国人民银行行政许可实施办法》（中国人民银行令〔2020〕第1号）第三十三条规定的相关程序不计入时限。</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六</w:t>
      </w:r>
      <w:r>
        <w:rPr>
          <w:rFonts w:hint="eastAsia" w:ascii="黑体" w:hAnsi="黑体" w:eastAsia="黑体" w:cs="黑体"/>
          <w:sz w:val="32"/>
          <w:szCs w:val="32"/>
        </w:rPr>
        <w:t>、收费依据及标准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rPr>
        <w:t>十</w:t>
      </w:r>
      <w:r>
        <w:rPr>
          <w:rFonts w:hint="eastAsia" w:ascii="黑体" w:hAnsi="黑体" w:eastAsia="黑体" w:cs="黑体"/>
          <w:sz w:val="32"/>
          <w:szCs w:val="32"/>
          <w:lang w:val="en-US" w:eastAsia="zh-CN"/>
        </w:rPr>
        <w:t>七</w:t>
      </w:r>
      <w:r>
        <w:rPr>
          <w:rFonts w:hint="eastAsia" w:ascii="黑体" w:hAnsi="黑体" w:eastAsia="黑体" w:cs="黑体"/>
          <w:sz w:val="32"/>
          <w:szCs w:val="32"/>
          <w:lang w:val="en-US"/>
        </w:rPr>
        <w:t>、</w:t>
      </w:r>
      <w:r>
        <w:rPr>
          <w:rFonts w:hint="eastAsia" w:ascii="黑体" w:hAnsi="黑体" w:eastAsia="黑体" w:cs="黑体"/>
          <w:sz w:val="32"/>
          <w:szCs w:val="32"/>
          <w:lang w:eastAsia="zh-CN"/>
        </w:rPr>
        <w:t>审批结果</w:t>
      </w:r>
    </w:p>
    <w:p>
      <w:pPr>
        <w:keepNext w:val="0"/>
        <w:keepLines w:val="0"/>
        <w:pageBreakBefore w:val="0"/>
        <w:numPr>
          <w:ilvl w:val="0"/>
          <w:numId w:val="0"/>
        </w:numPr>
        <w:wordWrap/>
        <w:overflowPunct/>
        <w:topLinePunct w:val="0"/>
        <w:bidi w:val="0"/>
        <w:spacing w:beforeLines="0" w:afterLines="0"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宋体" w:eastAsia="仿宋_GB2312" w:cs="仿宋_GB2312"/>
          <w:kern w:val="2"/>
          <w:sz w:val="32"/>
          <w:szCs w:val="32"/>
          <w:highlight w:val="none"/>
          <w:lang w:val="en-US" w:eastAsia="zh-CN" w:bidi="ar-SA"/>
        </w:rPr>
        <w:t>中国人民银行核发准予行政许可或者不予行政许可决定书。</w:t>
      </w:r>
      <w:r>
        <w:rPr>
          <w:rFonts w:hint="eastAsia" w:ascii="仿宋_GB2312" w:hAnsi="仿宋_GB2312" w:eastAsia="仿宋_GB2312" w:cs="仿宋_GB2312"/>
          <w:kern w:val="2"/>
          <w:sz w:val="32"/>
          <w:szCs w:val="32"/>
          <w:lang w:val="en-US" w:eastAsia="zh-CN" w:bidi="ar-SA"/>
        </w:rPr>
        <w:t>经批准后，非银行支付机构依法向市场监督管理部门办理相关登记手续。</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、行政相对人权利和义务</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（一）依据《中华人民共和国行政许可法》等，申请人依法享有以下权利：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依法取得行政许可的平等权利；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依法申请行政复议和行政诉讼的权利。</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（二）依据《中华人民共和国行政许可法》等，申请人依法履行以下义务：</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保证申请材料实质内容的真实、准确和完整，无虚假记载、误导性陈述或重大遗漏；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配合中国人民银行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工作人员做好材料签收交接手续；</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按要求及时补正申请材料。</w:t>
      </w:r>
    </w:p>
    <w:p>
      <w:pPr>
        <w:pStyle w:val="5"/>
        <w:keepNext w:val="0"/>
        <w:keepLines w:val="0"/>
        <w:pageBreakBefore w:val="0"/>
        <w:wordWrap/>
        <w:overflowPunct/>
        <w:topLinePunct w:val="0"/>
        <w:bidi w:val="0"/>
        <w:spacing w:line="560" w:lineRule="exact"/>
        <w:ind w:firstLineChars="200"/>
        <w:rPr>
          <w:rFonts w:ascii="Times New Roman" w:eastAsia="黑体"/>
          <w:color w:val="000000"/>
          <w:sz w:val="32"/>
          <w:szCs w:val="32"/>
        </w:rPr>
      </w:pPr>
      <w:r>
        <w:rPr>
          <w:rFonts w:hint="eastAsia" w:ascii="黑体" w:hAnsi="黑体" w:eastAsia="黑体" w:cs="黑体"/>
          <w:sz w:val="32"/>
          <w:szCs w:val="32"/>
          <w:lang w:val="en-US" w:eastAsia="zh-CN"/>
        </w:rPr>
        <w:t>十九、</w:t>
      </w:r>
      <w:r>
        <w:rPr>
          <w:rFonts w:hint="eastAsia" w:ascii="Times New Roman" w:eastAsia="黑体"/>
          <w:color w:val="000000"/>
          <w:sz w:val="32"/>
          <w:szCs w:val="32"/>
        </w:rPr>
        <w:t>咨询途径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现场咨询：中国人民银行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电子邮件咨询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zhifuchupbc2022@163.com。</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信函咨询：</w:t>
      </w:r>
      <w:r>
        <w:rPr>
          <w:rFonts w:hint="eastAsia" w:ascii="仿宋_GB2312" w:hAnsi="仿宋_GB2312" w:eastAsia="仿宋_GB2312" w:cs="仿宋_GB2312"/>
          <w:sz w:val="32"/>
          <w:szCs w:val="32"/>
          <w:lang w:eastAsia="zh-CN"/>
        </w:rPr>
        <w:t>河南省郑州市郑东新区商务外环路</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lang w:eastAsia="zh-CN"/>
        </w:rPr>
        <w:t>（邮政编码：</w:t>
      </w:r>
      <w:r>
        <w:rPr>
          <w:rFonts w:hint="eastAsia" w:ascii="仿宋_GB2312" w:hAnsi="仿宋_GB2312" w:eastAsia="仿宋_GB2312" w:cs="仿宋_GB2312"/>
          <w:sz w:val="32"/>
          <w:szCs w:val="32"/>
          <w:lang w:val="en-US" w:eastAsia="zh-CN"/>
        </w:rPr>
        <w:t>450018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4.电话咨询：0371-69089662。</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lang w:eastAsia="zh-CN"/>
        </w:rPr>
        <w:t>二十</w:t>
      </w:r>
      <w:r>
        <w:rPr>
          <w:rFonts w:hint="eastAsia" w:ascii="黑体" w:hAnsi="黑体" w:eastAsia="黑体" w:cs="黑体"/>
          <w:bCs/>
          <w:sz w:val="32"/>
          <w:szCs w:val="32"/>
        </w:rPr>
        <w:t>、监督投诉渠道</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rPr>
        <w:t>电话</w:t>
      </w:r>
      <w:r>
        <w:rPr>
          <w:rFonts w:hint="eastAsia" w:ascii="仿宋_GB2312" w:hAnsi="仿宋_GB2312" w:eastAsia="仿宋_GB2312" w:cs="仿宋_GB2312"/>
          <w:sz w:val="32"/>
          <w:szCs w:val="32"/>
          <w:highlight w:val="none"/>
          <w:lang w:eastAsia="zh-CN"/>
        </w:rPr>
        <w:t>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0371-69089530。</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eastAsia="zh-CN"/>
        </w:rPr>
        <w:t>电子邮件投诉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zhifuchupbc2022</w:t>
      </w:r>
      <w:r>
        <w:rPr>
          <w:rFonts w:hint="eastAsia" w:ascii="仿宋_GB2312" w:hAnsi="仿宋_GB2312" w:eastAsia="仿宋_GB2312" w:cs="仿宋_GB2312"/>
          <w:sz w:val="32"/>
          <w:szCs w:val="32"/>
          <w:highlight w:val="none"/>
          <w:lang w:val="en-US" w:eastAsia="zh-CN"/>
        </w:rPr>
        <w:t>@163.com。</w:t>
      </w:r>
    </w:p>
    <w:p>
      <w:pPr>
        <w:keepNext w:val="0"/>
        <w:keepLines w:val="0"/>
        <w:pageBreakBefore w:val="0"/>
        <w:wordWrap/>
        <w:overflowPunct/>
        <w:topLinePunct w:val="0"/>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rPr>
        <w:t>信函投诉：</w:t>
      </w:r>
      <w:r>
        <w:rPr>
          <w:rFonts w:hint="eastAsia" w:ascii="仿宋_GB2312" w:hAnsi="仿宋_GB2312" w:eastAsia="仿宋_GB2312" w:cs="仿宋_GB2312"/>
          <w:sz w:val="32"/>
          <w:szCs w:val="32"/>
          <w:highlight w:val="none"/>
          <w:lang w:eastAsia="zh-CN"/>
        </w:rPr>
        <w:t>河南省郑州市郑东新区商务外环路</w:t>
      </w:r>
      <w:r>
        <w:rPr>
          <w:rFonts w:hint="eastAsia" w:ascii="仿宋_GB2312" w:hAnsi="仿宋_GB2312" w:eastAsia="仿宋_GB2312" w:cs="仿宋_GB2312"/>
          <w:sz w:val="32"/>
          <w:szCs w:val="32"/>
          <w:highlight w:val="none"/>
          <w:lang w:val="en-US" w:eastAsia="zh-CN"/>
        </w:rPr>
        <w:t>21号</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河南省分行（邮政编码：</w:t>
      </w:r>
      <w:r>
        <w:rPr>
          <w:rFonts w:hint="eastAsia" w:ascii="仿宋_GB2312" w:hAnsi="仿宋_GB2312" w:eastAsia="仿宋_GB2312" w:cs="仿宋_GB2312"/>
          <w:sz w:val="32"/>
          <w:szCs w:val="32"/>
          <w:lang w:val="en-US" w:eastAsia="zh-CN"/>
        </w:rPr>
        <w:t>450018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ascii="黑体" w:hAnsi="黑体" w:eastAsia="黑体" w:cs="Times New Roman"/>
          <w:bCs/>
          <w:sz w:val="32"/>
          <w:szCs w:val="32"/>
        </w:rPr>
      </w:pPr>
      <w:r>
        <w:rPr>
          <w:rFonts w:hint="eastAsia" w:ascii="黑体" w:hAnsi="黑体" w:eastAsia="黑体" w:cs="黑体"/>
          <w:bCs/>
          <w:sz w:val="32"/>
          <w:szCs w:val="32"/>
          <w:lang w:eastAsia="zh-CN"/>
        </w:rPr>
        <w:t>二十一</w:t>
      </w:r>
      <w:r>
        <w:rPr>
          <w:rFonts w:hint="eastAsia" w:ascii="黑体" w:hAnsi="黑体" w:eastAsia="黑体" w:cs="黑体"/>
          <w:bCs/>
          <w:sz w:val="32"/>
          <w:szCs w:val="32"/>
        </w:rPr>
        <w:t>、办公地址和时间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河南省郑州市郑东新区商务外环路</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办公时间：工作日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keepNext w:val="0"/>
        <w:keepLines w:val="0"/>
        <w:pageBreakBefore w:val="0"/>
        <w:wordWrap/>
        <w:overflowPunct/>
        <w:topLinePunct w:val="0"/>
        <w:bidi w:val="0"/>
        <w:spacing w:line="560" w:lineRule="exact"/>
        <w:rPr>
          <w:b/>
        </w:rPr>
      </w:pPr>
      <w:bookmarkStart w:id="0" w:name="_GoBack"/>
      <w:bookmarkEnd w:id="0"/>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altName w:val="Droid Sans Fallback"/>
    <w:panose1 w:val="0201060906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UAAAACACHTuJAmMBwBNEB&#10;AACiAwAADgAAAAAAAAABACAAAAA1AQAAZHJzL2Uyb0RvYy54bWxQSwECFAAUAAAACACHTuJAuXW5&#10;UtAAAAAFAQAADwAAAAAAAAABACAAAAA4AAAAZHJzL2Rvd25yZXYueG1sUEsBAhQACgAAAAAAh07i&#10;QAAAAAAAAAAAAAAAAAQAAAAAAAAAAAAQAAAAFgAAAGRycy9QSwUGAAAAAAYABgBZAQAAeA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1A"/>
    <w:rsid w:val="006106EF"/>
    <w:rsid w:val="00A84C1A"/>
    <w:rsid w:val="0169706A"/>
    <w:rsid w:val="017B658E"/>
    <w:rsid w:val="01A60818"/>
    <w:rsid w:val="0220040D"/>
    <w:rsid w:val="03A12328"/>
    <w:rsid w:val="03F23F83"/>
    <w:rsid w:val="0B4E18DB"/>
    <w:rsid w:val="0D0343E8"/>
    <w:rsid w:val="0EB00984"/>
    <w:rsid w:val="0FFB715C"/>
    <w:rsid w:val="1555182F"/>
    <w:rsid w:val="15EE2E3D"/>
    <w:rsid w:val="16EE7E2B"/>
    <w:rsid w:val="19E85838"/>
    <w:rsid w:val="1A805623"/>
    <w:rsid w:val="1A9525ED"/>
    <w:rsid w:val="1BE52E52"/>
    <w:rsid w:val="1BFF7C15"/>
    <w:rsid w:val="1C1D0A2D"/>
    <w:rsid w:val="1E287B89"/>
    <w:rsid w:val="1F2A3DC1"/>
    <w:rsid w:val="1F465971"/>
    <w:rsid w:val="1FEDA128"/>
    <w:rsid w:val="1FFEA23C"/>
    <w:rsid w:val="22C03A10"/>
    <w:rsid w:val="257A09B2"/>
    <w:rsid w:val="287B1CF7"/>
    <w:rsid w:val="28CD1B01"/>
    <w:rsid w:val="29FDFB23"/>
    <w:rsid w:val="2BA128A4"/>
    <w:rsid w:val="2BFD76D3"/>
    <w:rsid w:val="2CA64350"/>
    <w:rsid w:val="2E7632C6"/>
    <w:rsid w:val="300B0D4D"/>
    <w:rsid w:val="33641CEA"/>
    <w:rsid w:val="33E035FC"/>
    <w:rsid w:val="351C446B"/>
    <w:rsid w:val="35B80D56"/>
    <w:rsid w:val="36A33EE7"/>
    <w:rsid w:val="377F0536"/>
    <w:rsid w:val="37FF780A"/>
    <w:rsid w:val="3C8D79FE"/>
    <w:rsid w:val="3CEFABBF"/>
    <w:rsid w:val="3D931F15"/>
    <w:rsid w:val="3F5A4E56"/>
    <w:rsid w:val="3F651E10"/>
    <w:rsid w:val="4000420D"/>
    <w:rsid w:val="415C0440"/>
    <w:rsid w:val="419E7FC6"/>
    <w:rsid w:val="43F61C0F"/>
    <w:rsid w:val="45C43104"/>
    <w:rsid w:val="4A0664F6"/>
    <w:rsid w:val="4B2C0F6D"/>
    <w:rsid w:val="4C2E3877"/>
    <w:rsid w:val="4F863785"/>
    <w:rsid w:val="50AD486C"/>
    <w:rsid w:val="520B593A"/>
    <w:rsid w:val="52342A7D"/>
    <w:rsid w:val="53040C17"/>
    <w:rsid w:val="53931F3E"/>
    <w:rsid w:val="53F144D6"/>
    <w:rsid w:val="5506395C"/>
    <w:rsid w:val="55E12B48"/>
    <w:rsid w:val="55E759FD"/>
    <w:rsid w:val="561E3959"/>
    <w:rsid w:val="57FC1D79"/>
    <w:rsid w:val="5A472CE8"/>
    <w:rsid w:val="5AAF3758"/>
    <w:rsid w:val="5CC21EBE"/>
    <w:rsid w:val="5E2E7743"/>
    <w:rsid w:val="5F7FFEC9"/>
    <w:rsid w:val="5FFDE89A"/>
    <w:rsid w:val="608219C1"/>
    <w:rsid w:val="60E2768F"/>
    <w:rsid w:val="63C520B9"/>
    <w:rsid w:val="643A55A1"/>
    <w:rsid w:val="64787C12"/>
    <w:rsid w:val="6684017E"/>
    <w:rsid w:val="6B6F1752"/>
    <w:rsid w:val="6BBFBF65"/>
    <w:rsid w:val="6E487706"/>
    <w:rsid w:val="6F123AC7"/>
    <w:rsid w:val="6F1E5060"/>
    <w:rsid w:val="6FBB6926"/>
    <w:rsid w:val="6FDE6AEC"/>
    <w:rsid w:val="725F4A58"/>
    <w:rsid w:val="76DF6520"/>
    <w:rsid w:val="79A3BE97"/>
    <w:rsid w:val="7ABF7D72"/>
    <w:rsid w:val="7B2D6274"/>
    <w:rsid w:val="7B3A9757"/>
    <w:rsid w:val="7B3B782E"/>
    <w:rsid w:val="7B8034AD"/>
    <w:rsid w:val="7BFF5E6F"/>
    <w:rsid w:val="7CFFA384"/>
    <w:rsid w:val="7DF16C3F"/>
    <w:rsid w:val="7E8B75AC"/>
    <w:rsid w:val="7F7FD409"/>
    <w:rsid w:val="7FCB226C"/>
    <w:rsid w:val="A77D130F"/>
    <w:rsid w:val="AFFFBC30"/>
    <w:rsid w:val="CFFF6AE1"/>
    <w:rsid w:val="DEF3EAA3"/>
    <w:rsid w:val="DF7FA2AE"/>
    <w:rsid w:val="DFEF898E"/>
    <w:rsid w:val="EBD6552D"/>
    <w:rsid w:val="F66F2CA4"/>
    <w:rsid w:val="F7CDE1E5"/>
    <w:rsid w:val="F7DFA364"/>
    <w:rsid w:val="F7F71077"/>
    <w:rsid w:val="F8DF4CF9"/>
    <w:rsid w:val="F9FFB56B"/>
    <w:rsid w:val="FAFBB70A"/>
    <w:rsid w:val="FBF36AFF"/>
    <w:rsid w:val="FDFFEB65"/>
    <w:rsid w:val="FF5D09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3"/>
    <w:unhideWhenUsed/>
    <w:qFormat/>
    <w:uiPriority w:val="99"/>
    <w:pPr>
      <w:ind w:firstLine="640"/>
    </w:pPr>
    <w:rPr>
      <w:rFonts w:ascii="仿宋_GB2312" w:hAnsi="Times New Roman" w:eastAsia="仿宋_GB2312" w:cs="Times New Roman"/>
      <w:sz w:val="30"/>
      <w:szCs w:val="30"/>
    </w:rPr>
  </w:style>
  <w:style w:type="paragraph" w:styleId="6">
    <w:name w:val="Normal (Web)"/>
    <w:basedOn w:val="1"/>
    <w:unhideWhenUsed/>
    <w:qFormat/>
    <w:uiPriority w:val="0"/>
    <w:rPr>
      <w:rFonts w:ascii="Times New Roman" w:hAnsi="Times New Roman" w:eastAsia="宋体" w:cs="Times New Roman"/>
      <w:sz w:val="24"/>
      <w:szCs w:val="20"/>
    </w:rPr>
  </w:style>
  <w:style w:type="character" w:styleId="9">
    <w:name w:val="Hyperlink"/>
    <w:basedOn w:val="8"/>
    <w:unhideWhenUsed/>
    <w:qFormat/>
    <w:uiPriority w:val="99"/>
    <w:rPr>
      <w:color w:val="0000FF"/>
      <w:u w:val="single"/>
    </w:rPr>
  </w:style>
  <w:style w:type="paragraph" w:customStyle="1" w:styleId="10">
    <w:name w:val="表格正文"/>
    <w:basedOn w:val="1"/>
    <w:semiHidden/>
    <w:qFormat/>
    <w:uiPriority w:val="0"/>
    <w:pPr>
      <w:snapToGrid w:val="0"/>
      <w:spacing w:line="460" w:lineRule="exact"/>
    </w:pPr>
    <w:rPr>
      <w:rFonts w:ascii="宋体" w:hAnsi="宋体" w:eastAsia="宋体" w:cs="Times New Roman"/>
      <w:sz w:val="24"/>
      <w:szCs w:val="21"/>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正文文本缩进 3 Char"/>
    <w:basedOn w:val="8"/>
    <w:link w:val="5"/>
    <w:semiHidden/>
    <w:qFormat/>
    <w:uiPriority w:val="99"/>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1218</Words>
  <Characters>6947</Characters>
  <Lines>57</Lines>
  <Paragraphs>16</Paragraphs>
  <TotalTime>1</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2020-11-07T10:29:00Z</dcterms:created>
  <dc:creator>sangfor</dc:creator>
  <cp:lastModifiedBy>user</cp:lastModifiedBy>
  <cp:lastPrinted>2021-05-12T03:10:00Z</cp:lastPrinted>
  <dcterms:modified xsi:type="dcterms:W3CDTF">2024-11-15T10:21:21Z</dcterms:modified>
  <dc:title>中国人民银行贵阳中心支行                   编号：21019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